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21174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2026年1月份工作总结</w:t>
      </w:r>
    </w:p>
    <w:p w14:paraId="4A58718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2026年1月，在岗位工作中，我始终坚守职责，高效推进各类故障工单的接收、排查与处置工作，全力保障办公设备正常运转，为各部门日常</w:t>
      </w: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办公顺利开展提供坚实支撑。本月整体工单处理节奏紧凑，问题集中性较强，现将具体工作情况总结如下：</w:t>
      </w:r>
    </w:p>
    <w:p w14:paraId="141F667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月累计接收并完成各类故障工单249条，工单办结率达100%，平均单日处理工单约8条，整体处置效率稳定，有效缩短了设备故障对办公的影响时长。从工单故障类型分布来看，**打印机相关故障占比最高**，是本月工作的核心重点，其余为PC端故障，问题分类较为集中，便于针对性开展处置工作。</w:t>
      </w:r>
    </w:p>
    <w:p w14:paraId="623DDFB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在打印机故障处置方面，针式打印机故障尤为显著，针对此类故障形成了针对性处理方案：打印头磨损时，先清洁打印头针脚残留墨渍，若磨损严重则直接更换适配打印头，更换后校准打印位置与针击力度；进纸机构卡顿多为滚轮积尘或弹簧松动，通过酒精擦拭进纸辊、调整弹簧张力恢复顺畅进纸，若部件老化则更换对应滚轮与传动组件；线路接触不良需逐一检查数据线、电源线接口，重新插拔固定，对氧化接口进行打磨清洁，必要时更换破损线路。此类故障频发主要源于部分针式打印机使用年限较久，日常损耗严重，且高频用于票据打印，负荷较高。其次为激光打印机故障，常见问题包括卡纸、漏墨两类，处理方式各有侧重：卡纸时先关闭设备电源，按照机身标识取出卡纸，同时清理残留纸屑，检查进纸通道是否有异物，针对进纸辊老化问题及时更换；漏墨故障先排查硒鼓，若为硒鼓磨损则更换硒鼓。针对各类打印机故障，我均严格按照故障排查流程，快速定位问题根源，通过上述针对性方法及时解决，对于无法现场处置的复杂故障，协调专业维修资源跟进，确保问题闭环。</w:t>
      </w:r>
    </w:p>
    <w:p w14:paraId="0F9F975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PC端故障方面，问题相对集中，其中电脑无法开机故障占比超五成，主要诱因包括电源故障、主板故障、系统崩溃等；其余则为电脑运行卡顿缓慢问题，多由内存不足、硬盘老化、后台程序过多、病毒入侵等因素导致。处置过程中，我优先排查硬件基础问题，再逐步优化软件系统，通过重装系统、清理磁盘、升级硬件、安装杀毒软件等方式，恢复电脑正常运行状态，同时为用户提供基础操作指导，减少同类故障重复发生。</w:t>
      </w:r>
    </w:p>
    <w:p w14:paraId="1D344A7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月工作虽顺利完成，但也暴露出部分问题，如老旧设备故障频发，增加了工单处置压力；部分用户对办公设备日常维护知识不足，导致小故障扩大化。进一步优化工单处置流程，总结高频故障处置经验，提高故障定位和解决效率，持续提升服务保障水平。</w:t>
      </w:r>
    </w:p>
    <w:p w14:paraId="029A0DB7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2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2026-02-01T08:21:10Z</dcterms:created>
  <dc:creator>34602</dc:creator>
  <cp:lastModifiedBy>小南孩</cp:lastModifiedBy>
  <dcterms:modified xsi:type="dcterms:W3CDTF">2026-02-01T08:36:00Z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eyJoZGlkIjoiMzA1NmRlNmQ5Mjc2MDcxZmMxMTM5Y2FhYWU2YjBkZjQiLCJ1c2VySWQiOiIxNDM2NzA1Mzg0In0=</vt:lpwstr>
  </property>
  <property fmtid="{D5CDD505-2E9C-101B-9397-08002B2CF9AE}" pid="4" name="ICV">
    <vt:lpwstr>75D36C55AC5D489D87DEB89EFD8C2BAF_12</vt:lpwstr>
  </property>
</Properties>
</file>